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28"/>
          <w:szCs w:val="28"/>
          <w:lang w:val="en-US" w:eastAsia="zh-CN"/>
        </w:rPr>
      </w:pPr>
      <w:bookmarkStart w:id="0" w:name="_GoBack"/>
      <w:r>
        <w:rPr>
          <w:rFonts w:hint="eastAsia"/>
          <w:sz w:val="28"/>
          <w:szCs w:val="28"/>
          <w:lang w:val="en-US" w:eastAsia="zh-CN"/>
        </w:rPr>
        <w:t>车辆运输半挂车技术参数</w:t>
      </w:r>
    </w:p>
    <w:bookmarkEnd w:id="0"/>
    <w:tbl>
      <w:tblPr>
        <w:tblStyle w:val="4"/>
        <w:tblW w:w="839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0"/>
        <w:gridCol w:w="2760"/>
        <w:gridCol w:w="1770"/>
        <w:gridCol w:w="22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0" w:type="dxa"/>
            <w:tcBorders>
              <w:top w:val="single" w:color="4F81BD" w:sz="8" w:space="0"/>
              <w:left w:val="single" w:color="4F81BD" w:sz="8" w:space="0"/>
              <w:bottom w:val="single" w:color="FFFFFF" w:sz="4" w:space="0"/>
              <w:right w:val="single" w:color="4F81BD" w:sz="8" w:space="0"/>
            </w:tcBorders>
            <w:shd w:val="clear" w:color="auto" w:fill="4F81BD"/>
            <w:vAlign w:val="center"/>
          </w:tcPr>
          <w:p>
            <w:pPr>
              <w:jc w:val="center"/>
              <w:rPr>
                <w:rFonts w:hint="eastAsia"/>
                <w:color w:val="FFFFFF"/>
                <w:vertAlign w:val="baseline"/>
                <w:lang w:val="en-US" w:eastAsia="zh-CN"/>
              </w:rPr>
            </w:pPr>
            <w:r>
              <w:rPr>
                <w:rFonts w:hint="eastAsia"/>
                <w:color w:val="FFFFFF"/>
                <w:vertAlign w:val="baseline"/>
                <w:lang w:val="en-US" w:eastAsia="zh-CN"/>
              </w:rPr>
              <w:t>车型公告</w:t>
            </w:r>
          </w:p>
        </w:tc>
        <w:tc>
          <w:tcPr>
            <w:tcW w:w="2760" w:type="dxa"/>
            <w:tcBorders>
              <w:top w:val="single" w:color="4F81BD" w:sz="8" w:space="0"/>
              <w:left w:val="single" w:color="4F81BD" w:sz="8" w:space="0"/>
              <w:bottom w:val="single" w:color="FFFFFF" w:sz="4" w:space="0"/>
              <w:right w:val="single" w:color="4F81BD" w:sz="8" w:space="0"/>
            </w:tcBorders>
            <w:shd w:val="clear" w:color="auto" w:fill="4F81BD"/>
            <w:vAlign w:val="center"/>
          </w:tcPr>
          <w:p>
            <w:pPr>
              <w:jc w:val="center"/>
              <w:rPr>
                <w:rFonts w:hint="eastAsia"/>
                <w:color w:val="FFFFFF"/>
                <w:vertAlign w:val="baseline"/>
                <w:lang w:val="en-US" w:eastAsia="zh-CN"/>
              </w:rPr>
            </w:pPr>
            <w:r>
              <w:rPr>
                <w:rFonts w:hint="eastAsia"/>
                <w:color w:val="FFFFFF"/>
                <w:vertAlign w:val="baseline"/>
                <w:lang w:val="en-US" w:eastAsia="zh-CN"/>
              </w:rPr>
              <w:t>SKW9220TCL</w:t>
            </w:r>
          </w:p>
          <w:p>
            <w:pPr>
              <w:jc w:val="center"/>
              <w:rPr>
                <w:rFonts w:hint="eastAsia"/>
                <w:color w:val="FFFFFF"/>
                <w:vertAlign w:val="baseline"/>
                <w:lang w:val="en-US" w:eastAsia="zh-CN"/>
              </w:rPr>
            </w:pPr>
            <w:r>
              <w:rPr>
                <w:rFonts w:hint="eastAsia"/>
                <w:color w:val="FFFFFF"/>
                <w:vertAlign w:val="baseline"/>
                <w:lang w:val="en-US" w:eastAsia="zh-CN"/>
              </w:rPr>
              <w:t>SKW9221TCL</w:t>
            </w:r>
          </w:p>
        </w:tc>
        <w:tc>
          <w:tcPr>
            <w:tcW w:w="1770" w:type="dxa"/>
            <w:tcBorders>
              <w:top w:val="single" w:color="4F81BD" w:sz="8" w:space="0"/>
              <w:left w:val="single" w:color="4F81BD" w:sz="8" w:space="0"/>
              <w:bottom w:val="single" w:color="FFFFFF" w:sz="4" w:space="0"/>
              <w:right w:val="single" w:color="4F81BD" w:sz="8" w:space="0"/>
            </w:tcBorders>
            <w:shd w:val="clear" w:color="auto" w:fill="4F81BD"/>
            <w:vAlign w:val="center"/>
          </w:tcPr>
          <w:p>
            <w:pPr>
              <w:jc w:val="center"/>
              <w:rPr>
                <w:rFonts w:hint="eastAsia"/>
                <w:color w:val="FFFFFF"/>
                <w:vertAlign w:val="baseline"/>
                <w:lang w:val="en-US" w:eastAsia="zh-CN"/>
              </w:rPr>
            </w:pPr>
            <w:r>
              <w:rPr>
                <w:rFonts w:hint="eastAsia"/>
                <w:color w:val="FFFFFF"/>
                <w:vertAlign w:val="baseline"/>
                <w:lang w:val="en-US" w:eastAsia="zh-CN"/>
              </w:rPr>
              <w:t>钢板弹簧片数</w:t>
            </w:r>
          </w:p>
        </w:tc>
        <w:tc>
          <w:tcPr>
            <w:tcW w:w="2250" w:type="dxa"/>
            <w:tcBorders>
              <w:top w:val="single" w:color="4F81BD" w:sz="8" w:space="0"/>
              <w:left w:val="single" w:color="4F81BD" w:sz="8" w:space="0"/>
              <w:bottom w:val="single" w:color="FFFFFF" w:sz="4" w:space="0"/>
              <w:right w:val="single" w:color="4F81BD" w:sz="8" w:space="0"/>
            </w:tcBorders>
            <w:shd w:val="clear" w:color="auto" w:fill="4F81BD"/>
            <w:vAlign w:val="center"/>
          </w:tcPr>
          <w:p>
            <w:pPr>
              <w:jc w:val="center"/>
              <w:rPr>
                <w:rFonts w:hint="eastAsia"/>
                <w:color w:val="FFFFFF"/>
                <w:vertAlign w:val="baseline"/>
                <w:lang w:val="en-US" w:eastAsia="zh-CN"/>
              </w:rPr>
            </w:pPr>
            <w:r>
              <w:rPr>
                <w:rFonts w:hint="eastAsia"/>
                <w:color w:val="FFFFFF"/>
                <w:vertAlign w:val="baseline"/>
                <w:lang w:val="en-US" w:eastAsia="zh-CN"/>
              </w:rPr>
              <w:t>-/4/4, -/7/7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0" w:type="dxa"/>
            <w:tcBorders>
              <w:top w:val="single" w:color="FFFFFF" w:sz="4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B8CCE4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长（mm）</w:t>
            </w:r>
          </w:p>
        </w:tc>
        <w:tc>
          <w:tcPr>
            <w:tcW w:w="2760" w:type="dxa"/>
            <w:tcBorders>
              <w:top w:val="single" w:color="FFFFFF" w:sz="4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B8CCE4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13600/137000/137500</w:t>
            </w:r>
          </w:p>
        </w:tc>
        <w:tc>
          <w:tcPr>
            <w:tcW w:w="1770" w:type="dxa"/>
            <w:tcBorders>
              <w:top w:val="single" w:color="FFFFFF" w:sz="4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B8CCE4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轮胎规格</w:t>
            </w:r>
          </w:p>
        </w:tc>
        <w:tc>
          <w:tcPr>
            <w:tcW w:w="2250" w:type="dxa"/>
            <w:tcBorders>
              <w:top w:val="single" w:color="FFFFFF" w:sz="4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B8CCE4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235/75R17.5-16PR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0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宽（mm）</w:t>
            </w:r>
          </w:p>
        </w:tc>
        <w:tc>
          <w:tcPr>
            <w:tcW w:w="2760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2550</w:t>
            </w:r>
          </w:p>
        </w:tc>
        <w:tc>
          <w:tcPr>
            <w:tcW w:w="1770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轮距</w:t>
            </w:r>
          </w:p>
        </w:tc>
        <w:tc>
          <w:tcPr>
            <w:tcW w:w="2250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1950/1950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0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B8CCE4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高（mm）</w:t>
            </w:r>
          </w:p>
        </w:tc>
        <w:tc>
          <w:tcPr>
            <w:tcW w:w="2760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B8CCE4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3600/3800/3900/4000,</w:t>
            </w:r>
          </w:p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3600/3800/3900</w:t>
            </w:r>
          </w:p>
        </w:tc>
        <w:tc>
          <w:tcPr>
            <w:tcW w:w="1770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B8CCE4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后悬（mm）</w:t>
            </w:r>
          </w:p>
        </w:tc>
        <w:tc>
          <w:tcPr>
            <w:tcW w:w="2250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B8CCE4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-/3300,-/3400,-/3450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0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总质量（Kg）</w:t>
            </w:r>
          </w:p>
        </w:tc>
        <w:tc>
          <w:tcPr>
            <w:tcW w:w="2760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22000</w:t>
            </w:r>
          </w:p>
        </w:tc>
        <w:tc>
          <w:tcPr>
            <w:tcW w:w="1770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轴距（mm）</w:t>
            </w:r>
          </w:p>
        </w:tc>
        <w:tc>
          <w:tcPr>
            <w:tcW w:w="2250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7240+1310,7340+1310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0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B8CCE4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整备质量（Kg）</w:t>
            </w:r>
          </w:p>
        </w:tc>
        <w:tc>
          <w:tcPr>
            <w:tcW w:w="2760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B8CCE4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7800/7500/7100,8000/7400</w:t>
            </w:r>
          </w:p>
        </w:tc>
        <w:tc>
          <w:tcPr>
            <w:tcW w:w="1770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B8CCE4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额定载质量（Kg）</w:t>
            </w:r>
          </w:p>
        </w:tc>
        <w:tc>
          <w:tcPr>
            <w:tcW w:w="2250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B8CCE4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14200/14500/14900,</w:t>
            </w:r>
          </w:p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14000/14600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0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其他说明</w:t>
            </w:r>
          </w:p>
        </w:tc>
        <w:tc>
          <w:tcPr>
            <w:tcW w:w="6780" w:type="dxa"/>
            <w:gridSpan w:val="3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前、中、后立柱采用油缸直顶、钢丝绳+油缸、链条加油缸等结构方式，</w:t>
            </w:r>
          </w:p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跳板机构可选择机械或液压控制</w:t>
            </w:r>
          </w:p>
        </w:tc>
      </w:tr>
    </w:tbl>
    <w:p>
      <w:pPr>
        <w:rPr>
          <w:rFonts w:hint="eastAsia"/>
          <w:lang w:val="en-US" w:eastAsia="zh-CN"/>
        </w:rPr>
      </w:pPr>
    </w:p>
    <w:tbl>
      <w:tblPr>
        <w:tblStyle w:val="4"/>
        <w:tblW w:w="839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0"/>
        <w:gridCol w:w="2760"/>
        <w:gridCol w:w="1770"/>
        <w:gridCol w:w="22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0" w:type="dxa"/>
            <w:tcBorders>
              <w:top w:val="single" w:color="4F81BD" w:sz="8" w:space="0"/>
              <w:left w:val="single" w:color="4F81BD" w:sz="8" w:space="0"/>
              <w:bottom w:val="single" w:color="FFFFFF" w:sz="4" w:space="0"/>
              <w:right w:val="single" w:color="4F81BD" w:sz="8" w:space="0"/>
            </w:tcBorders>
            <w:shd w:val="clear" w:color="auto" w:fill="4F81BD"/>
            <w:vAlign w:val="center"/>
          </w:tcPr>
          <w:p>
            <w:pPr>
              <w:jc w:val="center"/>
              <w:rPr>
                <w:rFonts w:hint="eastAsia"/>
                <w:color w:val="FFFFFF"/>
                <w:vertAlign w:val="baseline"/>
                <w:lang w:val="en-US" w:eastAsia="zh-CN"/>
              </w:rPr>
            </w:pPr>
            <w:r>
              <w:rPr>
                <w:rFonts w:hint="eastAsia"/>
                <w:color w:val="FFFFFF"/>
                <w:vertAlign w:val="baseline"/>
                <w:lang w:val="en-US" w:eastAsia="zh-CN"/>
              </w:rPr>
              <w:t>车型公告</w:t>
            </w:r>
          </w:p>
        </w:tc>
        <w:tc>
          <w:tcPr>
            <w:tcW w:w="2760" w:type="dxa"/>
            <w:tcBorders>
              <w:top w:val="single" w:color="4F81BD" w:sz="8" w:space="0"/>
              <w:left w:val="single" w:color="4F81BD" w:sz="8" w:space="0"/>
              <w:bottom w:val="single" w:color="FFFFFF" w:sz="4" w:space="0"/>
              <w:right w:val="single" w:color="4F81BD" w:sz="8" w:space="0"/>
            </w:tcBorders>
            <w:shd w:val="clear" w:color="auto" w:fill="4F81BD"/>
            <w:vAlign w:val="center"/>
          </w:tcPr>
          <w:p>
            <w:pPr>
              <w:jc w:val="center"/>
              <w:rPr>
                <w:rFonts w:hint="eastAsia"/>
                <w:color w:val="FFFFFF"/>
                <w:vertAlign w:val="baseline"/>
                <w:lang w:val="en-US" w:eastAsia="zh-CN"/>
              </w:rPr>
            </w:pPr>
            <w:r>
              <w:rPr>
                <w:rFonts w:hint="eastAsia"/>
                <w:color w:val="FFFFFF"/>
                <w:vertAlign w:val="baseline"/>
                <w:lang w:val="en-US" w:eastAsia="zh-CN"/>
              </w:rPr>
              <w:t>SKW9222TCL</w:t>
            </w:r>
          </w:p>
        </w:tc>
        <w:tc>
          <w:tcPr>
            <w:tcW w:w="1770" w:type="dxa"/>
            <w:tcBorders>
              <w:top w:val="single" w:color="4F81BD" w:sz="8" w:space="0"/>
              <w:left w:val="single" w:color="4F81BD" w:sz="8" w:space="0"/>
              <w:bottom w:val="single" w:color="FFFFFF" w:sz="4" w:space="0"/>
              <w:right w:val="single" w:color="4F81BD" w:sz="8" w:space="0"/>
            </w:tcBorders>
            <w:shd w:val="clear" w:color="auto" w:fill="4F81BD"/>
            <w:vAlign w:val="center"/>
          </w:tcPr>
          <w:p>
            <w:pPr>
              <w:jc w:val="center"/>
              <w:rPr>
                <w:rFonts w:hint="eastAsia"/>
                <w:color w:val="FFFFFF"/>
                <w:vertAlign w:val="baseline"/>
                <w:lang w:val="en-US" w:eastAsia="zh-CN"/>
              </w:rPr>
            </w:pPr>
            <w:r>
              <w:rPr>
                <w:rFonts w:hint="eastAsia"/>
                <w:color w:val="FFFFFF"/>
                <w:vertAlign w:val="baseline"/>
                <w:lang w:val="en-US" w:eastAsia="zh-CN"/>
              </w:rPr>
              <w:t>钢板弹簧片数</w:t>
            </w:r>
          </w:p>
        </w:tc>
        <w:tc>
          <w:tcPr>
            <w:tcW w:w="2250" w:type="dxa"/>
            <w:tcBorders>
              <w:top w:val="single" w:color="4F81BD" w:sz="8" w:space="0"/>
              <w:left w:val="single" w:color="4F81BD" w:sz="8" w:space="0"/>
              <w:bottom w:val="single" w:color="FFFFFF" w:sz="4" w:space="0"/>
              <w:right w:val="single" w:color="4F81BD" w:sz="8" w:space="0"/>
            </w:tcBorders>
            <w:shd w:val="clear" w:color="auto" w:fill="4F81BD"/>
            <w:vAlign w:val="center"/>
          </w:tcPr>
          <w:p>
            <w:pPr>
              <w:jc w:val="center"/>
              <w:rPr>
                <w:rFonts w:hint="eastAsia"/>
                <w:color w:val="FFFFFF"/>
                <w:vertAlign w:val="baseline"/>
                <w:lang w:val="en-US" w:eastAsia="zh-CN"/>
              </w:rPr>
            </w:pPr>
            <w:r>
              <w:rPr>
                <w:rFonts w:hint="eastAsia"/>
                <w:color w:val="FFFFFF"/>
                <w:vertAlign w:val="baseline"/>
                <w:lang w:val="en-US" w:eastAsia="zh-CN"/>
              </w:rPr>
              <w:t>-/4/4, -/7/7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0" w:type="dxa"/>
            <w:tcBorders>
              <w:top w:val="single" w:color="FFFFFF" w:sz="4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B8CCE4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长（mm）</w:t>
            </w:r>
          </w:p>
        </w:tc>
        <w:tc>
          <w:tcPr>
            <w:tcW w:w="2760" w:type="dxa"/>
            <w:tcBorders>
              <w:top w:val="single" w:color="FFFFFF" w:sz="4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B8CCE4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137500</w:t>
            </w:r>
          </w:p>
        </w:tc>
        <w:tc>
          <w:tcPr>
            <w:tcW w:w="1770" w:type="dxa"/>
            <w:tcBorders>
              <w:top w:val="single" w:color="FFFFFF" w:sz="4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B8CCE4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轮胎规格</w:t>
            </w:r>
          </w:p>
        </w:tc>
        <w:tc>
          <w:tcPr>
            <w:tcW w:w="2250" w:type="dxa"/>
            <w:tcBorders>
              <w:top w:val="single" w:color="FFFFFF" w:sz="4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B8CCE4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235/75R17.5-16PR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0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宽（mm）</w:t>
            </w:r>
          </w:p>
        </w:tc>
        <w:tc>
          <w:tcPr>
            <w:tcW w:w="2760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2550</w:t>
            </w:r>
          </w:p>
        </w:tc>
        <w:tc>
          <w:tcPr>
            <w:tcW w:w="1770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轮距</w:t>
            </w:r>
          </w:p>
        </w:tc>
        <w:tc>
          <w:tcPr>
            <w:tcW w:w="2250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1950/1950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0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B8CCE4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高（mm）</w:t>
            </w:r>
          </w:p>
        </w:tc>
        <w:tc>
          <w:tcPr>
            <w:tcW w:w="2760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B8CCE4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3600/3800/3900/4000</w:t>
            </w:r>
          </w:p>
        </w:tc>
        <w:tc>
          <w:tcPr>
            <w:tcW w:w="1770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B8CCE4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后悬（mm）</w:t>
            </w:r>
          </w:p>
        </w:tc>
        <w:tc>
          <w:tcPr>
            <w:tcW w:w="2250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B8CCE4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-/3450,-/2750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0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总质量（Kg）</w:t>
            </w:r>
          </w:p>
        </w:tc>
        <w:tc>
          <w:tcPr>
            <w:tcW w:w="2760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22000</w:t>
            </w:r>
          </w:p>
        </w:tc>
        <w:tc>
          <w:tcPr>
            <w:tcW w:w="1770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轴距（mm）</w:t>
            </w:r>
          </w:p>
        </w:tc>
        <w:tc>
          <w:tcPr>
            <w:tcW w:w="2250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7240+1310,7940+1310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0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B8CCE4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整备质量（Kg）</w:t>
            </w:r>
          </w:p>
        </w:tc>
        <w:tc>
          <w:tcPr>
            <w:tcW w:w="2760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B8CCE4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8200/9000</w:t>
            </w:r>
          </w:p>
        </w:tc>
        <w:tc>
          <w:tcPr>
            <w:tcW w:w="1770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B8CCE4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额定载质量（Kg）</w:t>
            </w:r>
          </w:p>
        </w:tc>
        <w:tc>
          <w:tcPr>
            <w:tcW w:w="2250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B8CCE4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13800/13000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0" w:type="dxa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其他说明</w:t>
            </w:r>
          </w:p>
        </w:tc>
        <w:tc>
          <w:tcPr>
            <w:tcW w:w="6780" w:type="dxa"/>
            <w:gridSpan w:val="3"/>
            <w:tcBorders>
              <w:top w:val="single" w:color="4F81BD" w:sz="8" w:space="0"/>
              <w:left w:val="single" w:color="4F81BD" w:sz="8" w:space="0"/>
              <w:bottom w:val="single" w:color="4F81BD" w:sz="8" w:space="0"/>
              <w:right w:val="single" w:color="4F81BD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前、中、后立柱采用油缸直顶、钢丝绳+油缸、链条加油缸等结构方式，</w:t>
            </w:r>
          </w:p>
          <w:p>
            <w:pPr>
              <w:jc w:val="center"/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跳板机构可选择机械或液压控制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463622"/>
    <w:rsid w:val="3E463622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Office_10.1.0.7670_F1E327BC-269C-435d-A152-05C5408002CA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2018-11-28T08:01:00Z</dcterms:created>
  <dc:creator>Administrator</dc:creator>
  <cp:lastModifiedBy>Administrator</cp:lastModifiedBy>
  <dcterms:modified xsi:type="dcterms:W3CDTF">2018-11-28T08:01:37Z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2052-10.1.0.7670</vt:lpwstr>
  </property>
</Properties>
</file>