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"/>
        <w:gridCol w:w="1602"/>
        <w:gridCol w:w="375"/>
        <w:gridCol w:w="1908"/>
        <w:gridCol w:w="810"/>
        <w:gridCol w:w="750"/>
        <w:gridCol w:w="780"/>
        <w:gridCol w:w="1755"/>
        <w:gridCol w:w="810"/>
        <w:gridCol w:w="1545"/>
        <w:gridCol w:w="1215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6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型号</w:t>
            </w:r>
          </w:p>
        </w:tc>
        <w:tc>
          <w:tcPr>
            <w:tcW w:w="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轴数</w:t>
            </w:r>
          </w:p>
        </w:tc>
        <w:tc>
          <w:tcPr>
            <w:tcW w:w="19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外形尺寸（mm）</w:t>
            </w: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总质量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载质量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整备质量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轴距</w:t>
            </w: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前悬/后悬</w:t>
            </w: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轮胎规格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钢板弹簧</w:t>
            </w:r>
          </w:p>
        </w:tc>
        <w:tc>
          <w:tcPr>
            <w:tcW w:w="22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5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vertAlign w:val="baseline"/>
                <w:lang w:val="en-US" w:eastAsia="zh-CN"/>
              </w:rPr>
              <w:t>危险品罐箱骨架运输半挂车</w:t>
            </w:r>
            <w:bookmarkEnd w:id="0"/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SKW9400TWY</w:t>
            </w:r>
          </w:p>
        </w:tc>
        <w:tc>
          <w:tcPr>
            <w:tcW w:w="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9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12400*2480*1490, 1550,1600</w:t>
            </w: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40000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34500 33950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5500 6050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7000+1310+1310 7350+1310+1310</w:t>
            </w: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/1580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/1630</w:t>
            </w: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11.00R20 12PR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I2R22.5 12PR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/4/4/4,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-/8/8/8, -/10/10/10</w:t>
            </w:r>
          </w:p>
        </w:tc>
        <w:tc>
          <w:tcPr>
            <w:tcW w:w="22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该车用于运输40英尺危险品罐箱，罐箱装运的危险品类别为:非剧毒化学品及爆炸品；也可运输40英尺的集装箱或普通罐箱.车身中部选装加强横梁及锁头.前部选装限位挡块.选装轮罩样式和后部样式；该车采用适用于牵引危险品运输半挂车的牵引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35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SKW9401TWY</w:t>
            </w:r>
          </w:p>
        </w:tc>
        <w:tc>
          <w:tcPr>
            <w:tcW w:w="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8500*2480*1490, 1550,1600</w:t>
            </w: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40000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35000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5000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4100+1310+1310</w:t>
            </w: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/980</w:t>
            </w: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11.00R20 12PR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I2R22.5 12PR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/4/4/4,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-/8/8/8,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-/10/10/10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该车用于运输20英尺危险品罐箱，罐箱装运的危险品类别为:非剧毒化学品及爆炸品；也可运输20英尺的集装箱或普通罐箱.车身中部选装加强横梁及锁头.前部选装限位挡块.选装轮罩样式;该车采用适用于牵引危险品运输半挂车的牵引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5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SKW9402TWY</w:t>
            </w:r>
          </w:p>
        </w:tc>
        <w:tc>
          <w:tcPr>
            <w:tcW w:w="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10350,9650*2480*1490, 1550,1600</w:t>
            </w: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40000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35000 34500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5000 5500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4800+1310+1310 5050+1310+1310</w:t>
            </w: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/1280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/1480</w:t>
            </w: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11.00R20 12PR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12R22.5 12PR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/4/4/4, -/8/8/8, -/10/10/10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该车用于运输30英尺危险品罐箱，罐箱装运的危险品类别为:非剧毒化学品及爆炸品；也可运输30英尺的集装箱或普通罐箱;该车采用适用于牵引危险品运输半挂车的牵引车.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SKW9403TWY</w:t>
            </w:r>
          </w:p>
        </w:tc>
        <w:tc>
          <w:tcPr>
            <w:tcW w:w="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10350,9650*2480*1490, 1550,1600</w:t>
            </w: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40000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35500 35000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4500 5000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4800+1310+1310 5050+1310+1310</w:t>
            </w: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/1280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/1480</w:t>
            </w: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11.00R20 12PR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12R22.5 12PR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/4/4/4, -/8/8/8, -/10/10/10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该车用于运输30英尺危险品罐箱，罐箱装运的危险品类别为:非剧毒化学品及爆炸品；也可运输30英尺的集装箱或普通罐箱;该车采用适用于牵引危险品运输半挂车的牵引车.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5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2018-11-21T09:12:21Z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